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B311" w14:textId="1442C03E" w:rsidR="00690474" w:rsidRPr="00400176" w:rsidRDefault="00690474" w:rsidP="00E659FE">
      <w:pPr>
        <w:spacing w:before="120" w:after="120" w:line="280" w:lineRule="exact"/>
        <w:jc w:val="center"/>
        <w:rPr>
          <w:rFonts w:ascii="Cambria" w:hAnsi="Cambria" w:cstheme="minorHAnsi"/>
          <w:b/>
          <w:bCs/>
          <w:color w:val="002060"/>
          <w:sz w:val="24"/>
          <w:szCs w:val="24"/>
        </w:rPr>
      </w:pPr>
      <w:r w:rsidRPr="00400176">
        <w:rPr>
          <w:rFonts w:ascii="Cambria" w:hAnsi="Cambria" w:cstheme="minorHAnsi"/>
          <w:b/>
          <w:bCs/>
          <w:color w:val="002060"/>
          <w:sz w:val="24"/>
          <w:szCs w:val="24"/>
        </w:rPr>
        <w:t xml:space="preserve">ΟΔΗΓΙΕΣ ΓΙΑ ΤΗΝ </w:t>
      </w:r>
      <w:r w:rsidR="009120DA" w:rsidRPr="00400176">
        <w:rPr>
          <w:rFonts w:ascii="Cambria" w:hAnsi="Cambria" w:cstheme="minorHAnsi"/>
          <w:b/>
          <w:bCs/>
          <w:color w:val="002060"/>
          <w:sz w:val="24"/>
          <w:szCs w:val="24"/>
        </w:rPr>
        <w:t xml:space="preserve">ΑΞΙΟΛΟΓΗΣΗ ΤΟΥ ΚΡΙΤΗΡΙΟΥ ΤΗΣ </w:t>
      </w:r>
      <w:r w:rsidRPr="00400176">
        <w:rPr>
          <w:rFonts w:ascii="Cambria" w:hAnsi="Cambria" w:cstheme="minorHAnsi"/>
          <w:b/>
          <w:bCs/>
          <w:color w:val="002060"/>
          <w:sz w:val="24"/>
          <w:szCs w:val="24"/>
        </w:rPr>
        <w:t>ΚΛΙΜΑΤΙΚ</w:t>
      </w:r>
      <w:r w:rsidR="00B02FF2" w:rsidRPr="00400176">
        <w:rPr>
          <w:rFonts w:ascii="Cambria" w:hAnsi="Cambria" w:cstheme="minorHAnsi"/>
          <w:b/>
          <w:bCs/>
          <w:color w:val="002060"/>
          <w:sz w:val="24"/>
          <w:szCs w:val="24"/>
          <w:lang w:val="en-US"/>
        </w:rPr>
        <w:t>H</w:t>
      </w:r>
      <w:r w:rsidR="009120DA" w:rsidRPr="00400176">
        <w:rPr>
          <w:rFonts w:ascii="Cambria" w:hAnsi="Cambria" w:cstheme="minorHAnsi"/>
          <w:b/>
          <w:bCs/>
          <w:color w:val="002060"/>
          <w:sz w:val="24"/>
          <w:szCs w:val="24"/>
        </w:rPr>
        <w:t>Σ</w:t>
      </w:r>
      <w:r w:rsidRPr="00400176">
        <w:rPr>
          <w:rFonts w:ascii="Cambria" w:hAnsi="Cambria" w:cstheme="minorHAnsi"/>
          <w:b/>
          <w:bCs/>
          <w:color w:val="002060"/>
          <w:sz w:val="24"/>
          <w:szCs w:val="24"/>
        </w:rPr>
        <w:t xml:space="preserve"> ΑΝΘΕΚΤΙΚΟΤΗΤΑ</w:t>
      </w:r>
      <w:r w:rsidR="009120DA" w:rsidRPr="00400176">
        <w:rPr>
          <w:rFonts w:ascii="Cambria" w:hAnsi="Cambria" w:cstheme="minorHAnsi"/>
          <w:b/>
          <w:bCs/>
          <w:color w:val="002060"/>
          <w:sz w:val="24"/>
          <w:szCs w:val="24"/>
        </w:rPr>
        <w:t>Σ</w:t>
      </w:r>
    </w:p>
    <w:p w14:paraId="7970D7CA" w14:textId="77777777" w:rsidR="00B02FF2" w:rsidRPr="0080418F" w:rsidRDefault="00B02FF2" w:rsidP="00E659FE">
      <w:pPr>
        <w:spacing w:before="120" w:after="120" w:line="280" w:lineRule="exact"/>
        <w:jc w:val="center"/>
        <w:rPr>
          <w:rFonts w:ascii="Cambria" w:hAnsi="Cambria" w:cstheme="minorHAnsi"/>
          <w:b/>
          <w:bCs/>
          <w:sz w:val="28"/>
          <w:szCs w:val="28"/>
        </w:rPr>
      </w:pPr>
    </w:p>
    <w:p w14:paraId="70197F68" w14:textId="40C0C3CE" w:rsidR="00690474" w:rsidRPr="001E4F9F" w:rsidRDefault="00E659FE" w:rsidP="00E659FE">
      <w:pPr>
        <w:spacing w:before="120" w:after="120" w:line="280" w:lineRule="exact"/>
        <w:jc w:val="both"/>
        <w:rPr>
          <w:rFonts w:cstheme="minorHAnsi"/>
          <w:sz w:val="24"/>
          <w:szCs w:val="24"/>
        </w:rPr>
      </w:pPr>
      <w:r w:rsidRPr="001E4F9F">
        <w:rPr>
          <w:rFonts w:cstheme="minorHAnsi"/>
          <w:sz w:val="24"/>
          <w:szCs w:val="24"/>
        </w:rPr>
        <w:t xml:space="preserve">1. </w:t>
      </w:r>
      <w:r w:rsidR="00690474" w:rsidRPr="001E4F9F">
        <w:rPr>
          <w:rFonts w:cstheme="minorHAnsi"/>
          <w:sz w:val="24"/>
          <w:szCs w:val="24"/>
        </w:rPr>
        <w:t>Η απαίτηση για την ενσωμάτωση της διαδικασίας της ενίσχυσης της κλιματικής ανθεκτικότητας αποτελεί μέρος της Ευρωπαϊκής Νομοθεσίας, σύμφωνα με τον Κανονισμό (ΕΕ) 2021/1060 «Για τον καθορισμό κοινών διατάξεων για τα Ευρωπαϊκά Ταμεία». Ο Κανονισμός καθιστά την ενίσχυση της κλιματικής ανθεκτικότητας κριτήριο αξιολόγησης των υποδομών που θα ενταχθούν στα ΤΑΜΕΥ 2021-2027.</w:t>
      </w:r>
    </w:p>
    <w:p w14:paraId="4580F138" w14:textId="77777777" w:rsidR="00690474" w:rsidRPr="001E4F9F" w:rsidRDefault="00690474" w:rsidP="00E659FE">
      <w:pPr>
        <w:pStyle w:val="Default"/>
        <w:spacing w:before="120" w:after="120" w:line="280" w:lineRule="exact"/>
        <w:ind w:left="0" w:firstLine="0"/>
        <w:rPr>
          <w:rFonts w:asciiTheme="minorHAnsi" w:hAnsiTheme="minorHAnsi" w:cstheme="minorHAnsi"/>
          <w:szCs w:val="24"/>
          <w:lang w:val="el-GR"/>
        </w:rPr>
      </w:pPr>
      <w:r w:rsidRPr="001E4F9F">
        <w:rPr>
          <w:rFonts w:asciiTheme="minorHAnsi" w:hAnsiTheme="minorHAnsi" w:cstheme="minorHAnsi"/>
          <w:szCs w:val="24"/>
          <w:lang w:val="el-GR"/>
        </w:rPr>
        <w:t xml:space="preserve">Συγκεκριμένα, στην παράγραφο 2 του άρθρου 73 του Κανονισμού, περί επιλογής πράξεων από τη Διαχειριστική Αρχή, αναφέρεται πως κατά την επιλογή των πράξεων, η Διαχειριστική Αρχή διασφαλίζει την ενίσχυση της κλιματικής ανθεκτικότητας των επενδύσεων σε υποδομές που έχουν αναμενόμενη διάρκεια ζωής τουλάχιστον 5 ετών. Δηλαδή, στον Κανονισμό γίνεται αναφορά σε δύο μόνο προϋποθέσεις για να απαιτείται έκθεση κλιματικής ανθεκτικότητας (α) να αφορά υποδομές και (β) να έχουν διάρκεια ζωής 5 έτη ή μεγαλύτερη. Αντίθετα δεν γίνεται καμία αναφορά στο ύψος της επένδυσης ή στην Ευρωπαϊκή ή Εθνική νομοθεσία περιβαλλοντικής αδειοδότησης. </w:t>
      </w:r>
    </w:p>
    <w:p w14:paraId="566AF17E" w14:textId="77777777" w:rsidR="00690474" w:rsidRPr="001E4F9F" w:rsidRDefault="00690474" w:rsidP="00E659FE">
      <w:pPr>
        <w:pStyle w:val="Default"/>
        <w:spacing w:before="120" w:after="120" w:line="280" w:lineRule="exact"/>
        <w:ind w:left="0" w:firstLine="0"/>
        <w:rPr>
          <w:rFonts w:asciiTheme="minorHAnsi" w:hAnsiTheme="minorHAnsi" w:cstheme="minorHAnsi"/>
          <w:szCs w:val="24"/>
          <w:lang w:val="el-GR"/>
        </w:rPr>
      </w:pPr>
      <w:r w:rsidRPr="001E4F9F">
        <w:rPr>
          <w:rFonts w:asciiTheme="minorHAnsi" w:hAnsiTheme="minorHAnsi" w:cstheme="minorHAnsi"/>
          <w:szCs w:val="24"/>
          <w:lang w:val="el-GR"/>
        </w:rPr>
        <w:t>Η Ευρωπαϊκή Επιτροπή έχει εκδώσει τις Τεχνικές κατευθυντήριες οδηγίες σχετικά με την ενίσχυση της ανθεκτικότητας των υποδομών στην κλιματική αλλαγή κατά την περίοδο 2021-2027 (2021/C 373/01) που αφορούν από κοινού τον ΚΚΔ και τους Κανονισμούς (ΕΕ) 2021/523 (</w:t>
      </w:r>
      <w:proofErr w:type="spellStart"/>
      <w:r w:rsidRPr="001E4F9F">
        <w:rPr>
          <w:rFonts w:asciiTheme="minorHAnsi" w:hAnsiTheme="minorHAnsi" w:cstheme="minorHAnsi"/>
          <w:szCs w:val="24"/>
          <w:lang w:val="en-US"/>
        </w:rPr>
        <w:t>InvestEU</w:t>
      </w:r>
      <w:proofErr w:type="spellEnd"/>
      <w:r w:rsidRPr="001E4F9F">
        <w:rPr>
          <w:rFonts w:asciiTheme="minorHAnsi" w:hAnsiTheme="minorHAnsi" w:cstheme="minorHAnsi"/>
          <w:szCs w:val="24"/>
          <w:lang w:val="el-GR"/>
        </w:rPr>
        <w:t>) και 2021/1153 (Μηχανισμός Συνδέοντας την Ευρώπη). Στις κατευθυντήριες οδηγίες περιγράφεται αναλυτικά η έννοια της υποδομής (σελ. 10):</w:t>
      </w:r>
    </w:p>
    <w:p w14:paraId="5FBF59EB" w14:textId="77777777" w:rsidR="00690474" w:rsidRPr="001E4F9F" w:rsidRDefault="00690474" w:rsidP="00E659FE">
      <w:pPr>
        <w:pStyle w:val="Default"/>
        <w:spacing w:before="120" w:after="120" w:line="280" w:lineRule="exact"/>
        <w:ind w:left="0" w:firstLine="0"/>
        <w:rPr>
          <w:rFonts w:asciiTheme="minorHAnsi" w:hAnsiTheme="minorHAnsi" w:cstheme="minorHAnsi"/>
          <w:i/>
          <w:iCs/>
          <w:szCs w:val="24"/>
          <w:lang w:val="el-GR"/>
        </w:rPr>
      </w:pPr>
      <w:r w:rsidRPr="001E4F9F">
        <w:rPr>
          <w:rFonts w:asciiTheme="minorHAnsi" w:hAnsiTheme="minorHAnsi" w:cstheme="minorHAnsi"/>
          <w:szCs w:val="24"/>
          <w:lang w:val="el-GR"/>
        </w:rPr>
        <w:t>«</w:t>
      </w:r>
      <w:r w:rsidRPr="001E4F9F">
        <w:rPr>
          <w:rFonts w:asciiTheme="minorHAnsi" w:hAnsiTheme="minorHAnsi" w:cstheme="minorHAnsi"/>
          <w:i/>
          <w:iCs/>
          <w:szCs w:val="24"/>
          <w:lang w:val="el-GR"/>
        </w:rPr>
        <w:t>Οι υποδομές είναι μια ευρεία έννοια, η οποία περιλαμβάνει τα ακόλουθα:</w:t>
      </w:r>
    </w:p>
    <w:p w14:paraId="4AE982D5" w14:textId="77777777" w:rsidR="00690474" w:rsidRPr="001E4F9F" w:rsidRDefault="00690474" w:rsidP="00E659FE">
      <w:pPr>
        <w:pStyle w:val="Default"/>
        <w:numPr>
          <w:ilvl w:val="0"/>
          <w:numId w:val="4"/>
        </w:numPr>
        <w:spacing w:before="120" w:after="120" w:line="280" w:lineRule="exact"/>
        <w:ind w:left="714" w:hanging="357"/>
        <w:rPr>
          <w:rFonts w:asciiTheme="minorHAnsi" w:hAnsiTheme="minorHAnsi" w:cstheme="minorHAnsi"/>
          <w:i/>
          <w:iCs/>
          <w:szCs w:val="24"/>
          <w:lang w:val="el-GR"/>
        </w:rPr>
      </w:pPr>
      <w:r w:rsidRPr="001E4F9F">
        <w:rPr>
          <w:rFonts w:asciiTheme="minorHAnsi" w:hAnsiTheme="minorHAnsi" w:cstheme="minorHAnsi"/>
          <w:i/>
          <w:iCs/>
          <w:szCs w:val="24"/>
          <w:lang w:val="el-GR"/>
        </w:rPr>
        <w:t>κτίρια, από ιδιωτικές κατοικίες μέχρι σχολεία ή βιομηχανικές εγκαταστάσεις, που αποτελούν τον συνηθέστερο τύπο υποδομής και τη βάση για τη δημιουργία οικισμών·</w:t>
      </w:r>
    </w:p>
    <w:p w14:paraId="7B4D05E2" w14:textId="77777777" w:rsidR="00690474" w:rsidRPr="001E4F9F" w:rsidRDefault="00690474" w:rsidP="00E659FE">
      <w:pPr>
        <w:pStyle w:val="Default"/>
        <w:numPr>
          <w:ilvl w:val="0"/>
          <w:numId w:val="4"/>
        </w:numPr>
        <w:spacing w:before="120" w:after="120" w:line="280" w:lineRule="exact"/>
        <w:ind w:left="714" w:hanging="357"/>
        <w:rPr>
          <w:rFonts w:asciiTheme="minorHAnsi" w:hAnsiTheme="minorHAnsi" w:cstheme="minorHAnsi"/>
          <w:i/>
          <w:iCs/>
          <w:szCs w:val="24"/>
          <w:lang w:val="el-GR"/>
        </w:rPr>
      </w:pPr>
      <w:r w:rsidRPr="001E4F9F">
        <w:rPr>
          <w:rFonts w:asciiTheme="minorHAnsi" w:hAnsiTheme="minorHAnsi" w:cstheme="minorHAnsi"/>
          <w:i/>
          <w:iCs/>
          <w:szCs w:val="24"/>
          <w:lang w:val="el-GR"/>
        </w:rPr>
        <w:t>υποδομές που βασίζονται στη φύση, όπως σκεπές, τοίχοι, χώροι και συστήματα αποστράγγισης οικολογικού προσανατολισμού·</w:t>
      </w:r>
    </w:p>
    <w:p w14:paraId="54E7AD81" w14:textId="77777777" w:rsidR="00690474" w:rsidRPr="001E4F9F" w:rsidRDefault="00690474" w:rsidP="00E659FE">
      <w:pPr>
        <w:pStyle w:val="Default"/>
        <w:numPr>
          <w:ilvl w:val="0"/>
          <w:numId w:val="4"/>
        </w:numPr>
        <w:spacing w:before="120" w:after="120" w:line="280" w:lineRule="exact"/>
        <w:ind w:left="714" w:hanging="357"/>
        <w:rPr>
          <w:rFonts w:asciiTheme="minorHAnsi" w:hAnsiTheme="minorHAnsi" w:cstheme="minorHAnsi"/>
          <w:i/>
          <w:iCs/>
          <w:szCs w:val="24"/>
          <w:lang w:val="el-GR"/>
        </w:rPr>
      </w:pPr>
      <w:r w:rsidRPr="001E4F9F">
        <w:rPr>
          <w:rFonts w:asciiTheme="minorHAnsi" w:hAnsiTheme="minorHAnsi" w:cstheme="minorHAnsi"/>
          <w:i/>
          <w:iCs/>
          <w:szCs w:val="24"/>
          <w:lang w:val="el-GR"/>
        </w:rPr>
        <w:t>υποδομές δικτύων που είναι κρίσιμες για τη λειτουργία της σύγχρονης οικονομίας και κοινωνίας, και ιδίως υποδομές ενέργειας (π.χ. δίκτυα, σταθμοί ηλεκτροπαραγωγής , αγωγοί), υποδομές μεταφορών (σταθερά στοιχεία όπως οδοί, σιδηρόδρομοι, λιμένες, αερολιμένες ή υποδομές εσωτερικών πλωτών μεταφορών), τεχνολογίες πληροφοριών και επικοινωνίας (π.χ. δίκτυα κινητής τηλεφωνίας, καλώδια μεταφοράς δεδομένων, κέντρα δεδομένων) και υποδομές υδάτων (π.χ. αγωγοί ύδρευσης, δεξαμενές, εγκαταστάσεις επεξεργασίας λυμάτων)·</w:t>
      </w:r>
    </w:p>
    <w:p w14:paraId="56F8182F" w14:textId="77777777" w:rsidR="00690474" w:rsidRPr="001E4F9F" w:rsidRDefault="00690474" w:rsidP="00E659FE">
      <w:pPr>
        <w:pStyle w:val="Default"/>
        <w:numPr>
          <w:ilvl w:val="0"/>
          <w:numId w:val="4"/>
        </w:numPr>
        <w:spacing w:before="120" w:after="120" w:line="280" w:lineRule="exact"/>
        <w:ind w:left="714" w:hanging="357"/>
        <w:rPr>
          <w:rFonts w:asciiTheme="minorHAnsi" w:hAnsiTheme="minorHAnsi" w:cstheme="minorHAnsi"/>
          <w:i/>
          <w:iCs/>
          <w:szCs w:val="24"/>
          <w:lang w:val="el-GR"/>
        </w:rPr>
      </w:pPr>
      <w:r w:rsidRPr="001E4F9F">
        <w:rPr>
          <w:rFonts w:asciiTheme="minorHAnsi" w:hAnsiTheme="minorHAnsi" w:cstheme="minorHAnsi"/>
          <w:i/>
          <w:iCs/>
          <w:szCs w:val="24"/>
          <w:lang w:val="el-GR"/>
        </w:rPr>
        <w:t>συστήματα για τη διαχείριση των αποβλήτων που παράγονται από επιχειρήσεις και νοικοκυριά (σημεία συλλογής, εγκαταστάσεις διαλογής και ανακύκλωσης, αποτεφρωτήρες και χώροι υγειονομικής ταφής)·</w:t>
      </w:r>
    </w:p>
    <w:p w14:paraId="06C4B99D" w14:textId="77777777" w:rsidR="00690474" w:rsidRPr="001E4F9F" w:rsidRDefault="00690474" w:rsidP="00E659FE">
      <w:pPr>
        <w:pStyle w:val="Default"/>
        <w:numPr>
          <w:ilvl w:val="0"/>
          <w:numId w:val="4"/>
        </w:numPr>
        <w:spacing w:before="120" w:after="120" w:line="280" w:lineRule="exact"/>
        <w:ind w:left="714" w:hanging="357"/>
        <w:rPr>
          <w:rFonts w:asciiTheme="minorHAnsi" w:hAnsiTheme="minorHAnsi" w:cstheme="minorHAnsi"/>
          <w:i/>
          <w:iCs/>
          <w:szCs w:val="24"/>
          <w:lang w:val="el-GR"/>
        </w:rPr>
      </w:pPr>
      <w:r w:rsidRPr="001E4F9F">
        <w:rPr>
          <w:rFonts w:asciiTheme="minorHAnsi" w:hAnsiTheme="minorHAnsi" w:cstheme="minorHAnsi"/>
          <w:i/>
          <w:iCs/>
          <w:szCs w:val="24"/>
          <w:lang w:val="el-GR"/>
        </w:rPr>
        <w:lastRenderedPageBreak/>
        <w:t>άλλα υλικά περιουσιακά στοιχεία σε ευρύτερο φάσμα τομέων πολιτικής, συμπεριλαμβανομένων των επικοινωνιών, των υπηρεσιών έκτακτης ανάγκης, της ενέργειας, των οικονομικών, των τροφίμων, της διακυβέρνησης, της υγείας, της εκπαίδευσης και της κατάρτισης, της έρευνας, της πολιτικής προστασίας, των μεταφορών και των αποβλήτων ή των υδάτων·</w:t>
      </w:r>
    </w:p>
    <w:p w14:paraId="44117D26" w14:textId="10016A29" w:rsidR="00690474" w:rsidRPr="001E4F9F" w:rsidRDefault="00690474" w:rsidP="00E659FE">
      <w:pPr>
        <w:pStyle w:val="Default"/>
        <w:numPr>
          <w:ilvl w:val="0"/>
          <w:numId w:val="4"/>
        </w:numPr>
        <w:spacing w:before="120" w:after="120" w:line="280" w:lineRule="exact"/>
        <w:ind w:left="714" w:hanging="357"/>
        <w:rPr>
          <w:rFonts w:asciiTheme="minorHAnsi" w:hAnsiTheme="minorHAnsi" w:cstheme="minorHAnsi"/>
          <w:szCs w:val="24"/>
          <w:lang w:val="el-GR"/>
        </w:rPr>
      </w:pPr>
      <w:r w:rsidRPr="001E4F9F">
        <w:rPr>
          <w:rFonts w:asciiTheme="minorHAnsi" w:hAnsiTheme="minorHAnsi" w:cstheme="minorHAnsi"/>
          <w:i/>
          <w:iCs/>
          <w:szCs w:val="24"/>
          <w:lang w:val="el-GR"/>
        </w:rPr>
        <w:t xml:space="preserve">άλλοι επιλέξιμοι τύποι υποδομών μπορούν επίσης να καθορίζονται στη νομοθεσία για συγκεκριμένα ταμεία, για παράδειγμα, ο κανονισμός </w:t>
      </w:r>
      <w:proofErr w:type="spellStart"/>
      <w:r w:rsidRPr="001E4F9F">
        <w:rPr>
          <w:rFonts w:asciiTheme="minorHAnsi" w:hAnsiTheme="minorHAnsi" w:cstheme="minorHAnsi"/>
          <w:i/>
          <w:iCs/>
          <w:szCs w:val="24"/>
          <w:lang w:val="el-GR"/>
        </w:rPr>
        <w:t>InvestEU</w:t>
      </w:r>
      <w:proofErr w:type="spellEnd"/>
      <w:r w:rsidRPr="001E4F9F">
        <w:rPr>
          <w:rFonts w:asciiTheme="minorHAnsi" w:hAnsiTheme="minorHAnsi" w:cstheme="minorHAnsi"/>
          <w:i/>
          <w:iCs/>
          <w:szCs w:val="24"/>
          <w:lang w:val="el-GR"/>
        </w:rPr>
        <w:t xml:space="preserve"> περιλαμβάνει πλήρη κατάλογο επιλέξιμων επενδύσεων στο πλαίσιο του σκέλους πολιτικής για τις βιώσιμες υποδομές</w:t>
      </w:r>
      <w:r w:rsidRPr="001E4F9F">
        <w:rPr>
          <w:rFonts w:asciiTheme="minorHAnsi" w:hAnsiTheme="minorHAnsi" w:cstheme="minorHAnsi"/>
          <w:szCs w:val="24"/>
          <w:lang w:val="el-GR"/>
        </w:rPr>
        <w:t>»</w:t>
      </w:r>
      <w:r w:rsidR="00D26C2E" w:rsidRPr="001E4F9F">
        <w:rPr>
          <w:rFonts w:asciiTheme="minorHAnsi" w:hAnsiTheme="minorHAnsi" w:cstheme="minorHAnsi"/>
          <w:szCs w:val="24"/>
          <w:lang w:val="el-GR"/>
        </w:rPr>
        <w:t>.</w:t>
      </w:r>
      <w:r w:rsidRPr="001E4F9F">
        <w:rPr>
          <w:rFonts w:asciiTheme="minorHAnsi" w:hAnsiTheme="minorHAnsi" w:cstheme="minorHAnsi"/>
          <w:szCs w:val="24"/>
          <w:lang w:val="el-GR"/>
        </w:rPr>
        <w:t xml:space="preserve"> </w:t>
      </w:r>
    </w:p>
    <w:p w14:paraId="2132EF6D" w14:textId="5ED44797" w:rsidR="00690474" w:rsidRPr="001E4F9F" w:rsidRDefault="00E659FE" w:rsidP="00E659FE">
      <w:pPr>
        <w:pStyle w:val="Default"/>
        <w:spacing w:before="120" w:after="120" w:line="280" w:lineRule="exact"/>
        <w:ind w:left="0" w:firstLine="0"/>
        <w:rPr>
          <w:rFonts w:asciiTheme="minorHAnsi" w:hAnsiTheme="minorHAnsi" w:cstheme="minorHAnsi"/>
          <w:szCs w:val="24"/>
          <w:lang w:val="el-GR"/>
        </w:rPr>
      </w:pPr>
      <w:r w:rsidRPr="001E4F9F">
        <w:rPr>
          <w:rFonts w:asciiTheme="minorHAnsi" w:hAnsiTheme="minorHAnsi" w:cstheme="minorHAnsi"/>
          <w:szCs w:val="24"/>
          <w:lang w:val="el-GR"/>
        </w:rPr>
        <w:t xml:space="preserve">2. </w:t>
      </w:r>
      <w:r w:rsidR="00690474" w:rsidRPr="001E4F9F">
        <w:rPr>
          <w:rFonts w:asciiTheme="minorHAnsi" w:hAnsiTheme="minorHAnsi" w:cstheme="minorHAnsi"/>
          <w:szCs w:val="24"/>
          <w:lang w:val="el-GR"/>
        </w:rPr>
        <w:t xml:space="preserve">Η κλιματική διάσταση έργων και δραστηριοτήτων εξετάζεται στο πλαίσιο της περιβαλλοντικής αδειοδότησης έργων κατηγορίας Α, σύμφωνα με την κατάταξη που έχει εισάγει ο Νόμος 4014/2011 (Α’ 209). Περαιτέρω, τα έργα που ταξινομούνται </w:t>
      </w:r>
      <w:r w:rsidR="006B5066" w:rsidRPr="001E4F9F">
        <w:rPr>
          <w:rFonts w:asciiTheme="minorHAnsi" w:hAnsiTheme="minorHAnsi" w:cstheme="minorHAnsi"/>
          <w:szCs w:val="24"/>
          <w:lang w:val="el-GR"/>
        </w:rPr>
        <w:t>στην</w:t>
      </w:r>
      <w:r w:rsidR="00E6141C" w:rsidRPr="001E4F9F">
        <w:rPr>
          <w:rFonts w:asciiTheme="minorHAnsi" w:hAnsiTheme="minorHAnsi" w:cstheme="minorHAnsi"/>
          <w:szCs w:val="24"/>
          <w:lang w:val="el-GR"/>
        </w:rPr>
        <w:t xml:space="preserve"> κατηγορία</w:t>
      </w:r>
      <w:r w:rsidR="006B5066" w:rsidRPr="001E4F9F">
        <w:rPr>
          <w:rFonts w:asciiTheme="minorHAnsi" w:hAnsiTheme="minorHAnsi" w:cstheme="minorHAnsi"/>
          <w:szCs w:val="24"/>
          <w:lang w:val="el-GR"/>
        </w:rPr>
        <w:t xml:space="preserve"> </w:t>
      </w:r>
      <w:r w:rsidR="00690474" w:rsidRPr="001E4F9F">
        <w:rPr>
          <w:rFonts w:asciiTheme="minorHAnsi" w:hAnsiTheme="minorHAnsi" w:cstheme="minorHAnsi"/>
          <w:szCs w:val="24"/>
          <w:lang w:val="el-GR"/>
        </w:rPr>
        <w:t>Β, δηλαδή αυτά που θεωρείται ότι έχουν μικρό περιβαλλοντικό αποτύπωμα, ανάλογα με το είδος τους ενδέχεται να εμπίπτουν σ</w:t>
      </w:r>
      <w:r w:rsidR="00AF57CC" w:rsidRPr="001E4F9F">
        <w:rPr>
          <w:rFonts w:asciiTheme="minorHAnsi" w:hAnsiTheme="minorHAnsi" w:cstheme="minorHAnsi"/>
          <w:szCs w:val="24"/>
          <w:lang w:val="el-GR"/>
        </w:rPr>
        <w:t>το πεδίο εφαρμογής</w:t>
      </w:r>
      <w:r w:rsidR="00690474" w:rsidRPr="001E4F9F">
        <w:rPr>
          <w:rFonts w:asciiTheme="minorHAnsi" w:hAnsiTheme="minorHAnsi" w:cstheme="minorHAnsi"/>
          <w:szCs w:val="24"/>
          <w:lang w:val="el-GR"/>
        </w:rPr>
        <w:t xml:space="preserve"> </w:t>
      </w:r>
      <w:r w:rsidR="00BD44EC" w:rsidRPr="001E4F9F">
        <w:rPr>
          <w:rFonts w:asciiTheme="minorHAnsi" w:hAnsiTheme="minorHAnsi" w:cstheme="minorHAnsi"/>
          <w:szCs w:val="24"/>
          <w:lang w:val="el-GR"/>
        </w:rPr>
        <w:t>των άρθρων</w:t>
      </w:r>
      <w:r w:rsidR="00690474" w:rsidRPr="001E4F9F">
        <w:rPr>
          <w:rFonts w:asciiTheme="minorHAnsi" w:hAnsiTheme="minorHAnsi" w:cstheme="minorHAnsi"/>
          <w:szCs w:val="24"/>
          <w:lang w:val="el-GR"/>
        </w:rPr>
        <w:t xml:space="preserve"> 20</w:t>
      </w:r>
      <w:r w:rsidR="00195092" w:rsidRPr="001E4F9F">
        <w:rPr>
          <w:rFonts w:asciiTheme="minorHAnsi" w:hAnsiTheme="minorHAnsi" w:cstheme="minorHAnsi"/>
          <w:szCs w:val="24"/>
          <w:lang w:val="el-GR"/>
        </w:rPr>
        <w:t xml:space="preserve"> και</w:t>
      </w:r>
      <w:r w:rsidR="00690474" w:rsidRPr="001E4F9F">
        <w:rPr>
          <w:rFonts w:asciiTheme="minorHAnsi" w:hAnsiTheme="minorHAnsi" w:cstheme="minorHAnsi"/>
          <w:szCs w:val="24"/>
          <w:lang w:val="el-GR"/>
        </w:rPr>
        <w:t xml:space="preserve"> 21 του Νόμου 4936/2022 (Α΄105)</w:t>
      </w:r>
      <w:r w:rsidR="00195092" w:rsidRPr="001E4F9F">
        <w:rPr>
          <w:rFonts w:asciiTheme="minorHAnsi" w:hAnsiTheme="minorHAnsi" w:cstheme="minorHAnsi"/>
          <w:szCs w:val="24"/>
          <w:lang w:val="el-GR"/>
        </w:rPr>
        <w:t>,</w:t>
      </w:r>
      <w:r w:rsidR="00690474" w:rsidRPr="001E4F9F">
        <w:rPr>
          <w:rFonts w:asciiTheme="minorHAnsi" w:hAnsiTheme="minorHAnsi" w:cstheme="minorHAnsi"/>
          <w:szCs w:val="24"/>
          <w:lang w:val="el-GR"/>
        </w:rPr>
        <w:t xml:space="preserve"> όπως επίσης ενδέχεται να υπόκεινται σε άλλες διατάξεις σχετικές με την κλιματική αλλαγή όπως π.χ. τα Περιφερειακά Σχέδια για την Προσαρμογή στην Κλιματική Αλλαγή, το ΕΣΕΚ, ο ΚΕΝΑΚ, κλπ. Σύμφωνα με το ΥΠΕΝ, συνάγεται ότι, τα έργα αυτά χαρακτηρίζονται εκ των προτέρων από κλιματική ουδετερότητα και από κλιματική ανθεκτικότητα, όπως αυτές αναφέρονται στον πίνακα 1 των </w:t>
      </w:r>
      <w:r w:rsidR="002812ED" w:rsidRPr="001E4F9F">
        <w:rPr>
          <w:rFonts w:asciiTheme="minorHAnsi" w:hAnsiTheme="minorHAnsi" w:cstheme="minorHAnsi"/>
          <w:szCs w:val="24"/>
          <w:lang w:val="el-GR"/>
        </w:rPr>
        <w:t xml:space="preserve">ανωτέρω </w:t>
      </w:r>
      <w:r w:rsidR="00690474" w:rsidRPr="001E4F9F">
        <w:rPr>
          <w:rFonts w:asciiTheme="minorHAnsi" w:hAnsiTheme="minorHAnsi" w:cstheme="minorHAnsi"/>
          <w:szCs w:val="24"/>
          <w:lang w:val="el-GR"/>
        </w:rPr>
        <w:t>τεχνικών κατευθυντήριων οδηγιών. Ως εκ τούτου, για τα έργα αυτά δεν απαιτείται εξέτασης της κλιματικής διάστασης.</w:t>
      </w:r>
    </w:p>
    <w:p w14:paraId="4731FC3C" w14:textId="204DD1ED" w:rsidR="00B02FF2" w:rsidRPr="001E4F9F" w:rsidRDefault="00B02FF2" w:rsidP="00E659FE">
      <w:p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t xml:space="preserve">3. </w:t>
      </w:r>
      <w:r w:rsidRPr="001E4F9F">
        <w:rPr>
          <w:rFonts w:cstheme="minorHAnsi"/>
          <w:sz w:val="24"/>
          <w:szCs w:val="24"/>
        </w:rPr>
        <w:t xml:space="preserve">Η εξέταση της διασφάλισης της κλιματικής ανθεκτικότητας της </w:t>
      </w:r>
      <w:r w:rsidR="002812ED" w:rsidRPr="001E4F9F">
        <w:rPr>
          <w:rFonts w:cstheme="minorHAnsi"/>
          <w:sz w:val="24"/>
          <w:szCs w:val="24"/>
        </w:rPr>
        <w:t xml:space="preserve">εκάστοτε </w:t>
      </w:r>
      <w:r w:rsidRPr="001E4F9F">
        <w:rPr>
          <w:rFonts w:cstheme="minorHAnsi"/>
          <w:sz w:val="24"/>
          <w:szCs w:val="24"/>
        </w:rPr>
        <w:t>προτεινόμενης υποδομής θα γίνει σύμφωνα με τις παρακάτω κατευθύνσεις:</w:t>
      </w:r>
    </w:p>
    <w:p w14:paraId="4DBC4287" w14:textId="3DDFA10B" w:rsidR="00690474" w:rsidRPr="001E4F9F" w:rsidRDefault="00690474" w:rsidP="00E659FE">
      <w:p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t xml:space="preserve">Οι προδιαγραφές των περιβαλλοντικών μελετών τροποποιήθηκαν με την </w:t>
      </w:r>
      <w:proofErr w:type="spellStart"/>
      <w:r w:rsidRPr="001E4F9F">
        <w:rPr>
          <w:rFonts w:cstheme="minorHAnsi"/>
          <w:sz w:val="24"/>
          <w:szCs w:val="24"/>
          <w:shd w:val="clear" w:color="auto" w:fill="FFFFFF"/>
        </w:rPr>
        <w:t>αριθμ</w:t>
      </w:r>
      <w:proofErr w:type="spellEnd"/>
      <w:r w:rsidRPr="001E4F9F">
        <w:rPr>
          <w:rFonts w:cstheme="minorHAnsi"/>
          <w:sz w:val="24"/>
          <w:szCs w:val="24"/>
          <w:shd w:val="clear" w:color="auto" w:fill="FFFFFF"/>
        </w:rPr>
        <w:t>. ΥΠΕΝ/ΔΙΠΑ/143898/9866/30.12.2024 (Β' 7322/31.12.2024) υπουργική απόφαση (ΥΑ) με τίτλο «Τροποποίηση των περιεχομένων των μελετών περιβαλλοντικής αδειοδότησης έργων και δραστηριοτήτων κατηγορίας Α του ν. 4014/2011 για την ευθυγράμμιση με το άρθρο 18 του Εθνικού Κλιματικού Νόμου (ν. 4936/2022)». Σκοπός της απόφασης είναι η ενσωμάτωση των απαιτήσεων ενδυνάμωσης της διάστασης της κλιματικής αλλαγής στις προδιαγραφές των περιβαλλοντικών μελετών. Οι απαιτήσεις αυτές καθορίστηκαν στο άρθρο 18 του ν. 4936/2022, το οποίο τροποποίησε το Παράρτημα ΙΙ του ν. 4014/2011.</w:t>
      </w:r>
    </w:p>
    <w:p w14:paraId="4A511C98" w14:textId="77777777" w:rsidR="00690474" w:rsidRPr="001E4F9F" w:rsidRDefault="00690474" w:rsidP="00E659FE">
      <w:p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t>Σύμφωνα με το Άρθρο 7 (Μεταβατικές διατάξεις) της ΥΑ, οι νέες απαιτήσεις περιεχομένου μελετών που εισάγονται με την ανωτέρω απόφαση εφαρμόζονται αποκλειστικά σε ΜΠΕ και σε μελέτες περιβάλλοντος για τροποποίηση ή ανανέωση ΑΕΠΟ που υποβάλλονται από την ημερομηνία έναρξης ισχύος της απόφασης και εφεξής, δηλαδή από 31.12.2024. Αντίθετα, τα αιτήματα περιβαλλοντικής αδειοδότησης βάσει περιβαλλοντικών μελετών (ΜΠΕ και μελέτες περιβάλλοντος για τροποποίηση ή ανανέωση ΑΕΠΟ) που κατατέθηκαν από 1.1.2024 έως 30.12.2024 ολοκληρώνονται βάσει των προϋφιστάμενων διατάξεων λαμβανομένων, σε κάθε περίπτωση, υπόψη των οριζόμενων στο Παράρτημα ΙΙ του ν. 4014/2011, όπως αυτό ισχύει με την τροποποίησή του με το άρθρο 18 του ν. 4936/2022.</w:t>
      </w:r>
    </w:p>
    <w:p w14:paraId="24C2CE1C" w14:textId="78EC1236" w:rsidR="00690474" w:rsidRPr="001E4F9F" w:rsidRDefault="00506D9D" w:rsidP="006041DF">
      <w:p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lastRenderedPageBreak/>
        <w:t>Συνεπώ</w:t>
      </w:r>
      <w:r w:rsidR="00B96B90" w:rsidRPr="001E4F9F">
        <w:rPr>
          <w:rFonts w:cstheme="minorHAnsi"/>
          <w:sz w:val="24"/>
          <w:szCs w:val="24"/>
          <w:shd w:val="clear" w:color="auto" w:fill="FFFFFF"/>
        </w:rPr>
        <w:t>ς,</w:t>
      </w:r>
      <w:r w:rsidR="00690474" w:rsidRPr="001E4F9F">
        <w:rPr>
          <w:rFonts w:cstheme="minorHAnsi"/>
          <w:sz w:val="24"/>
          <w:szCs w:val="24"/>
          <w:shd w:val="clear" w:color="auto" w:fill="FFFFFF"/>
        </w:rPr>
        <w:t xml:space="preserve"> </w:t>
      </w:r>
      <w:r w:rsidR="00680F6C" w:rsidRPr="001E4F9F">
        <w:rPr>
          <w:rFonts w:cstheme="minorHAnsi"/>
          <w:sz w:val="24"/>
          <w:szCs w:val="24"/>
          <w:shd w:val="clear" w:color="auto" w:fill="FFFFFF"/>
        </w:rPr>
        <w:t>στις περιπτώσεις αξιολόγησης δημόσιων έργων υποδομής</w:t>
      </w:r>
      <w:r w:rsidR="002F0D9B" w:rsidRPr="001E4F9F">
        <w:rPr>
          <w:rFonts w:cstheme="minorHAnsi"/>
          <w:sz w:val="24"/>
          <w:szCs w:val="24"/>
          <w:shd w:val="clear" w:color="auto" w:fill="FFFFFF"/>
        </w:rPr>
        <w:t xml:space="preserve"> και </w:t>
      </w:r>
      <w:r w:rsidR="00680F6C" w:rsidRPr="001E4F9F">
        <w:rPr>
          <w:rFonts w:cstheme="minorHAnsi"/>
          <w:sz w:val="24"/>
          <w:szCs w:val="24"/>
          <w:shd w:val="clear" w:color="auto" w:fill="FFFFFF"/>
        </w:rPr>
        <w:t xml:space="preserve"> επενδυτικών σχεδίων, για έργα κατηγορίας Α1 ή Α2 που έλαβαν ΑΕΠΟ πριν από την ενσωμάτωση της εξέτασης της κλιματικής ανθεκτικότητας στη διαδικασία της περιβαλλοντικής αδειοδότησης</w:t>
      </w:r>
      <w:r w:rsidR="002F0D9B" w:rsidRPr="001E4F9F">
        <w:rPr>
          <w:rFonts w:cstheme="minorHAnsi"/>
          <w:sz w:val="24"/>
          <w:szCs w:val="24"/>
          <w:shd w:val="clear" w:color="auto" w:fill="FFFFFF"/>
        </w:rPr>
        <w:t xml:space="preserve"> κατά τα ανωτέρω, </w:t>
      </w:r>
      <w:r w:rsidR="00DB7736" w:rsidRPr="001E4F9F">
        <w:rPr>
          <w:rFonts w:cstheme="minorHAnsi"/>
          <w:sz w:val="24"/>
          <w:szCs w:val="24"/>
          <w:shd w:val="clear" w:color="auto" w:fill="FFFFFF"/>
        </w:rPr>
        <w:t xml:space="preserve">τότε </w:t>
      </w:r>
      <w:r w:rsidR="005C3205" w:rsidRPr="001E4F9F">
        <w:rPr>
          <w:rFonts w:cstheme="minorHAnsi"/>
          <w:sz w:val="24"/>
          <w:szCs w:val="24"/>
          <w:shd w:val="clear" w:color="auto" w:fill="FFFFFF"/>
        </w:rPr>
        <w:t>κατ</w:t>
      </w:r>
      <w:r w:rsidR="00615893" w:rsidRPr="001E4F9F">
        <w:rPr>
          <w:rFonts w:cstheme="minorHAnsi"/>
          <w:sz w:val="24"/>
          <w:szCs w:val="24"/>
          <w:shd w:val="clear" w:color="auto" w:fill="FFFFFF"/>
        </w:rPr>
        <w:t xml:space="preserve">’ </w:t>
      </w:r>
      <w:r w:rsidR="00D11617" w:rsidRPr="001E4F9F">
        <w:rPr>
          <w:rFonts w:cstheme="minorHAnsi"/>
          <w:sz w:val="24"/>
          <w:szCs w:val="24"/>
          <w:shd w:val="clear" w:color="auto" w:fill="FFFFFF"/>
        </w:rPr>
        <w:t xml:space="preserve">αναλογική </w:t>
      </w:r>
      <w:r w:rsidR="005C3205" w:rsidRPr="001E4F9F">
        <w:rPr>
          <w:rFonts w:cstheme="minorHAnsi"/>
          <w:sz w:val="24"/>
          <w:szCs w:val="24"/>
          <w:shd w:val="clear" w:color="auto" w:fill="FFFFFF"/>
        </w:rPr>
        <w:t>εφαρμογή τ</w:t>
      </w:r>
      <w:r w:rsidR="00D11617" w:rsidRPr="001E4F9F">
        <w:rPr>
          <w:rFonts w:cstheme="minorHAnsi"/>
          <w:sz w:val="24"/>
          <w:szCs w:val="24"/>
          <w:shd w:val="clear" w:color="auto" w:fill="FFFFFF"/>
        </w:rPr>
        <w:t>ου εγγράφου</w:t>
      </w:r>
      <w:r w:rsidR="006041DF" w:rsidRPr="001E4F9F">
        <w:rPr>
          <w:rFonts w:cstheme="minorHAnsi"/>
          <w:sz w:val="24"/>
          <w:szCs w:val="24"/>
          <w:shd w:val="clear" w:color="auto" w:fill="FFFFFF"/>
        </w:rPr>
        <w:t xml:space="preserve"> </w:t>
      </w:r>
      <w:r w:rsidR="009B0B9F" w:rsidRPr="001E4F9F">
        <w:rPr>
          <w:rFonts w:cstheme="minorHAnsi"/>
          <w:i/>
          <w:iCs/>
          <w:sz w:val="24"/>
          <w:szCs w:val="24"/>
        </w:rPr>
        <w:t>«ΠΡΟΣΩΡΙΝΟ ΠΛΑΙΣΙΟ ΑΞΙΟΛΟΓΗΣΗΣ ΤΗΣ ΚΛΙΜΑΤΙΚΗΣ ΑΝΘΕΚΤΙΚΟΤΗΤΑΣ ΕΡΓΩΝ ΥΠΟΔΟΜΩΝ ΠΟΥ ΥΠΟΒΑΛΛΟΝΤΑΙ ΠΡΟΣ ΣΥΓΧΡΗΜΑΤΟΔΟΤΗΣΗ ΣΤΑ ΠΡΟΓΡΑΜΜΑΤΑ ΤΟΥ ΕΣΠΑ 2021 – 2027»</w:t>
      </w:r>
      <w:r w:rsidR="005C3205" w:rsidRPr="001E4F9F">
        <w:rPr>
          <w:rFonts w:cstheme="minorHAnsi"/>
          <w:sz w:val="24"/>
          <w:szCs w:val="24"/>
        </w:rPr>
        <w:t xml:space="preserve"> (</w:t>
      </w:r>
      <w:hyperlink r:id="rId10" w:history="1">
        <w:r w:rsidR="00F80E31" w:rsidRPr="001E4F9F">
          <w:rPr>
            <w:rStyle w:val="-"/>
            <w:rFonts w:cstheme="minorHAnsi"/>
            <w:sz w:val="24"/>
            <w:szCs w:val="24"/>
          </w:rPr>
          <w:t>https://www.espa.gr/el/Pages/SDE.aspx</w:t>
        </w:r>
      </w:hyperlink>
      <w:r w:rsidR="00F80E31" w:rsidRPr="001E4F9F">
        <w:rPr>
          <w:rFonts w:cstheme="minorHAnsi"/>
          <w:sz w:val="24"/>
          <w:szCs w:val="24"/>
        </w:rPr>
        <w:t>, Διαδικασία ΔΙ_1</w:t>
      </w:r>
      <w:r w:rsidR="003F6D5D" w:rsidRPr="001E4F9F">
        <w:rPr>
          <w:rFonts w:cstheme="minorHAnsi"/>
          <w:sz w:val="24"/>
          <w:szCs w:val="24"/>
        </w:rPr>
        <w:t>)</w:t>
      </w:r>
      <w:r w:rsidR="009B0B9F" w:rsidRPr="001E4F9F">
        <w:rPr>
          <w:rFonts w:cstheme="minorHAnsi"/>
          <w:sz w:val="24"/>
          <w:szCs w:val="24"/>
        </w:rPr>
        <w:t xml:space="preserve"> της Εθνικής Αρχής Συντονισμού</w:t>
      </w:r>
      <w:r w:rsidR="009B0B9F" w:rsidRPr="001E4F9F">
        <w:rPr>
          <w:rFonts w:cstheme="minorHAnsi"/>
          <w:sz w:val="24"/>
          <w:szCs w:val="24"/>
          <w:shd w:val="clear" w:color="auto" w:fill="FFFFFF"/>
        </w:rPr>
        <w:t>,</w:t>
      </w:r>
      <w:r w:rsidR="006041DF" w:rsidRPr="001E4F9F">
        <w:rPr>
          <w:rFonts w:cstheme="minorHAnsi"/>
          <w:sz w:val="24"/>
          <w:szCs w:val="24"/>
          <w:shd w:val="clear" w:color="auto" w:fill="FFFFFF"/>
        </w:rPr>
        <w:t xml:space="preserve"> </w:t>
      </w:r>
      <w:r w:rsidR="00690474" w:rsidRPr="001E4F9F">
        <w:rPr>
          <w:rFonts w:cstheme="minorHAnsi"/>
          <w:sz w:val="24"/>
          <w:szCs w:val="24"/>
          <w:shd w:val="clear" w:color="auto" w:fill="FFFFFF"/>
        </w:rPr>
        <w:t>υποβάλλεται ως δικαιολογητικό τεκμηρίωσης του σχετικού κριτηρίου</w:t>
      </w:r>
      <w:r w:rsidR="006041DF" w:rsidRPr="001E4F9F">
        <w:rPr>
          <w:rFonts w:cstheme="minorHAnsi"/>
          <w:sz w:val="24"/>
          <w:szCs w:val="24"/>
          <w:shd w:val="clear" w:color="auto" w:fill="FFFFFF"/>
        </w:rPr>
        <w:t xml:space="preserve"> η Έκθεση Τεκμηρίωσης της Κλιματικής Ανθεκτικότητας, που προβλέπεται στο </w:t>
      </w:r>
      <w:r w:rsidR="00F23508" w:rsidRPr="001E4F9F">
        <w:rPr>
          <w:rFonts w:cstheme="minorHAnsi"/>
          <w:sz w:val="24"/>
          <w:szCs w:val="24"/>
          <w:shd w:val="clear" w:color="auto" w:fill="FFFFFF"/>
        </w:rPr>
        <w:t xml:space="preserve">ως άνω </w:t>
      </w:r>
      <w:r w:rsidR="006041DF" w:rsidRPr="001E4F9F">
        <w:rPr>
          <w:rFonts w:cstheme="minorHAnsi"/>
          <w:sz w:val="24"/>
          <w:szCs w:val="24"/>
          <w:shd w:val="clear" w:color="auto" w:fill="FFFFFF"/>
        </w:rPr>
        <w:t>έγγραφο</w:t>
      </w:r>
      <w:r w:rsidR="00690474" w:rsidRPr="001E4F9F">
        <w:rPr>
          <w:rFonts w:cstheme="minorHAnsi"/>
          <w:sz w:val="24"/>
          <w:szCs w:val="24"/>
          <w:shd w:val="clear" w:color="auto" w:fill="FFFFFF"/>
        </w:rPr>
        <w:t>.</w:t>
      </w:r>
    </w:p>
    <w:p w14:paraId="4250A6F8" w14:textId="2B225B4D" w:rsidR="009C2319" w:rsidRPr="001E4F9F" w:rsidRDefault="009C2319" w:rsidP="00E659FE">
      <w:p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t>Με βάση τα ανωτέρω:</w:t>
      </w:r>
    </w:p>
    <w:p w14:paraId="6069C84F" w14:textId="1D6F6579" w:rsidR="00690474" w:rsidRPr="001E4F9F" w:rsidRDefault="00690474" w:rsidP="009C2319">
      <w:pPr>
        <w:pStyle w:val="a6"/>
        <w:numPr>
          <w:ilvl w:val="0"/>
          <w:numId w:val="6"/>
        </w:num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t>Η ΔΑ</w:t>
      </w:r>
      <w:r w:rsidR="00AE0E8B" w:rsidRPr="001E4F9F">
        <w:rPr>
          <w:rFonts w:cstheme="minorHAnsi"/>
          <w:sz w:val="24"/>
          <w:szCs w:val="24"/>
          <w:shd w:val="clear" w:color="auto" w:fill="FFFFFF"/>
        </w:rPr>
        <w:t>/ΕΦ</w:t>
      </w:r>
      <w:r w:rsidRPr="001E4F9F">
        <w:rPr>
          <w:rFonts w:cstheme="minorHAnsi"/>
          <w:sz w:val="24"/>
          <w:szCs w:val="24"/>
          <w:shd w:val="clear" w:color="auto" w:fill="FFFFFF"/>
        </w:rPr>
        <w:t xml:space="preserve"> θεωρεί ότι το κριτήριο έχει εκπληρωθεί, εφόσον κατά την διαδικασία της περιβαλλοντικής αδειοδότησης, η διάσταση της κλιματικής ανθεκτικότητας έχει εξετασθεί επαρκώς σύμφωνα με τα παραπάνω και αυτό έχει αποτυπωθεί στην ΑΕΠΟ.</w:t>
      </w:r>
    </w:p>
    <w:p w14:paraId="55366B1F" w14:textId="3E589D77" w:rsidR="00690474" w:rsidRPr="001E4F9F" w:rsidRDefault="00690474" w:rsidP="009C2319">
      <w:pPr>
        <w:pStyle w:val="a6"/>
        <w:numPr>
          <w:ilvl w:val="0"/>
          <w:numId w:val="6"/>
        </w:numPr>
        <w:spacing w:before="120" w:after="120" w:line="280" w:lineRule="exact"/>
        <w:jc w:val="both"/>
        <w:rPr>
          <w:rFonts w:cstheme="minorHAnsi"/>
          <w:sz w:val="24"/>
          <w:szCs w:val="24"/>
          <w:shd w:val="clear" w:color="auto" w:fill="FFFFFF"/>
        </w:rPr>
      </w:pPr>
      <w:r w:rsidRPr="001E4F9F">
        <w:rPr>
          <w:rFonts w:cstheme="minorHAnsi"/>
          <w:sz w:val="24"/>
          <w:szCs w:val="24"/>
          <w:shd w:val="clear" w:color="auto" w:fill="FFFFFF"/>
        </w:rPr>
        <w:t>Σε διαφορετική περίπτωση θα πρέπει να γίνεται χρήση του</w:t>
      </w:r>
      <w:r w:rsidR="005D267F" w:rsidRPr="001E4F9F">
        <w:rPr>
          <w:rFonts w:cstheme="minorHAnsi"/>
          <w:sz w:val="24"/>
          <w:szCs w:val="24"/>
          <w:shd w:val="clear" w:color="auto" w:fill="FFFFFF"/>
        </w:rPr>
        <w:t xml:space="preserve"> προαναφερόμενου</w:t>
      </w:r>
      <w:r w:rsidRPr="001E4F9F">
        <w:rPr>
          <w:rFonts w:cstheme="minorHAnsi"/>
          <w:sz w:val="24"/>
          <w:szCs w:val="24"/>
          <w:shd w:val="clear" w:color="auto" w:fill="FFFFFF"/>
        </w:rPr>
        <w:t xml:space="preserve"> προσωρινού πλαισίου και να υποβάλλεται η σχετική έκθεση τεκμηρίωσης</w:t>
      </w:r>
      <w:r w:rsidR="00095EEE" w:rsidRPr="001E4F9F">
        <w:rPr>
          <w:rFonts w:cstheme="minorHAnsi"/>
          <w:sz w:val="24"/>
          <w:szCs w:val="24"/>
          <w:shd w:val="clear" w:color="auto" w:fill="FFFFFF"/>
        </w:rPr>
        <w:t xml:space="preserve">. </w:t>
      </w:r>
    </w:p>
    <w:sectPr w:rsidR="00690474" w:rsidRPr="001E4F9F">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7C340" w14:textId="77777777" w:rsidR="008E31FE" w:rsidRDefault="008E31FE" w:rsidP="009B0B9F">
      <w:pPr>
        <w:spacing w:after="0" w:line="240" w:lineRule="auto"/>
      </w:pPr>
      <w:r>
        <w:separator/>
      </w:r>
    </w:p>
  </w:endnote>
  <w:endnote w:type="continuationSeparator" w:id="0">
    <w:p w14:paraId="57A484DB" w14:textId="77777777" w:rsidR="008E31FE" w:rsidRDefault="008E31FE" w:rsidP="009B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739D" w14:textId="77777777" w:rsidR="001E4F9F" w:rsidRDefault="001E4F9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33036"/>
      <w:docPartObj>
        <w:docPartGallery w:val="Page Numbers (Bottom of Page)"/>
        <w:docPartUnique/>
      </w:docPartObj>
    </w:sdtPr>
    <w:sdtContent>
      <w:p w14:paraId="59990771" w14:textId="15DAE2BB" w:rsidR="00D40B3A" w:rsidRDefault="00D40B3A">
        <w:pPr>
          <w:pStyle w:val="ad"/>
          <w:jc w:val="center"/>
        </w:pPr>
      </w:p>
      <w:tbl>
        <w:tblPr>
          <w:tblW w:w="9214" w:type="dxa"/>
          <w:tblInd w:w="-426"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4710"/>
          <w:gridCol w:w="1768"/>
          <w:gridCol w:w="2736"/>
        </w:tblGrid>
        <w:tr w:rsidR="000D5F93" w:rsidRPr="001C7562" w14:paraId="3FC3E4EA" w14:textId="77777777" w:rsidTr="001E4F9F">
          <w:trPr>
            <w:trHeight w:val="840"/>
          </w:trPr>
          <w:tc>
            <w:tcPr>
              <w:tcW w:w="4710" w:type="dxa"/>
              <w:tcBorders>
                <w:top w:val="single" w:sz="6" w:space="0" w:color="auto"/>
                <w:left w:val="nil"/>
                <w:bottom w:val="nil"/>
                <w:right w:val="nil"/>
              </w:tcBorders>
              <w:tcMar>
                <w:left w:w="105" w:type="dxa"/>
                <w:right w:w="105" w:type="dxa"/>
              </w:tcMar>
              <w:vAlign w:val="center"/>
            </w:tcPr>
            <w:p w14:paraId="71B0D607" w14:textId="77777777" w:rsidR="000D5F93" w:rsidRDefault="000D5F93" w:rsidP="007B5EC5">
              <w:pPr>
                <w:ind w:left="844" w:hanging="529"/>
                <w:rPr>
                  <w:rFonts w:ascii="Calibri" w:eastAsia="Calibri" w:hAnsi="Calibri" w:cs="Calibri"/>
                  <w:color w:val="000000" w:themeColor="text1"/>
                </w:rPr>
              </w:pPr>
              <w:r>
                <w:rPr>
                  <w:noProof/>
                </w:rPr>
                <w:drawing>
                  <wp:inline distT="0" distB="0" distL="0" distR="0" wp14:anchorId="5931BD9C" wp14:editId="6443EEAC">
                    <wp:extent cx="2000250" cy="247650"/>
                    <wp:effectExtent l="0" t="0" r="0" b="0"/>
                    <wp:docPr id="712693763" name="Εικόνα 71269376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76175" name="Εικόνα 1174576175"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0250" cy="247650"/>
                            </a:xfrm>
                            <a:prstGeom prst="rect">
                              <a:avLst/>
                            </a:prstGeom>
                          </pic:spPr>
                        </pic:pic>
                      </a:graphicData>
                    </a:graphic>
                  </wp:inline>
                </w:drawing>
              </w:r>
            </w:p>
          </w:tc>
          <w:tc>
            <w:tcPr>
              <w:tcW w:w="1768" w:type="dxa"/>
              <w:tcBorders>
                <w:top w:val="single" w:sz="6" w:space="0" w:color="auto"/>
                <w:left w:val="nil"/>
                <w:bottom w:val="nil"/>
                <w:right w:val="nil"/>
              </w:tcBorders>
              <w:tcMar>
                <w:left w:w="105" w:type="dxa"/>
                <w:right w:w="105" w:type="dxa"/>
              </w:tcMar>
              <w:vAlign w:val="center"/>
            </w:tcPr>
            <w:p w14:paraId="280FC068" w14:textId="77777777" w:rsidR="000D5F93" w:rsidRPr="001E4F9F" w:rsidRDefault="000D5F93" w:rsidP="000D5F93">
              <w:pPr>
                <w:jc w:val="center"/>
                <w:rPr>
                  <w:rFonts w:eastAsia="Tahoma" w:cs="Tahoma"/>
                  <w:color w:val="000000" w:themeColor="text1"/>
                  <w:sz w:val="20"/>
                  <w:szCs w:val="20"/>
                </w:rPr>
              </w:pPr>
              <w:r w:rsidRPr="307E185F">
                <w:rPr>
                  <w:rFonts w:eastAsia="Tahoma" w:cs="Tahoma"/>
                  <w:color w:val="000000" w:themeColor="text1"/>
                  <w:sz w:val="16"/>
                  <w:szCs w:val="16"/>
                </w:rPr>
                <w:t xml:space="preserve">  </w:t>
              </w:r>
              <w:r w:rsidRPr="001E4F9F">
                <w:rPr>
                  <w:rFonts w:eastAsia="Tahoma" w:cs="Tahoma"/>
                  <w:color w:val="000000" w:themeColor="text1"/>
                  <w:sz w:val="20"/>
                  <w:szCs w:val="20"/>
                </w:rPr>
                <w:fldChar w:fldCharType="begin"/>
              </w:r>
              <w:r w:rsidRPr="001E4F9F">
                <w:rPr>
                  <w:sz w:val="20"/>
                  <w:szCs w:val="20"/>
                </w:rPr>
                <w:instrText>PAGE</w:instrText>
              </w:r>
              <w:r w:rsidRPr="001E4F9F">
                <w:rPr>
                  <w:rFonts w:eastAsia="Times New Roman" w:cs="Times New Roman"/>
                  <w:sz w:val="20"/>
                  <w:szCs w:val="20"/>
                </w:rPr>
                <w:fldChar w:fldCharType="separate"/>
              </w:r>
              <w:r w:rsidRPr="001E4F9F">
                <w:rPr>
                  <w:noProof/>
                  <w:sz w:val="20"/>
                  <w:szCs w:val="20"/>
                </w:rPr>
                <w:t>1</w:t>
              </w:r>
              <w:r w:rsidRPr="001E4F9F">
                <w:rPr>
                  <w:rFonts w:eastAsia="Tahoma" w:cs="Tahoma"/>
                  <w:color w:val="000000" w:themeColor="text1"/>
                  <w:sz w:val="20"/>
                  <w:szCs w:val="20"/>
                </w:rPr>
                <w:fldChar w:fldCharType="end"/>
              </w:r>
            </w:p>
          </w:tc>
          <w:tc>
            <w:tcPr>
              <w:tcW w:w="2736" w:type="dxa"/>
              <w:tcBorders>
                <w:top w:val="single" w:sz="6" w:space="0" w:color="auto"/>
                <w:left w:val="nil"/>
                <w:bottom w:val="nil"/>
                <w:right w:val="nil"/>
              </w:tcBorders>
              <w:tcMar>
                <w:left w:w="105" w:type="dxa"/>
                <w:right w:w="105" w:type="dxa"/>
              </w:tcMar>
              <w:vAlign w:val="center"/>
            </w:tcPr>
            <w:p w14:paraId="7F5524FA" w14:textId="4FD3AF1D" w:rsidR="000D5F93" w:rsidRPr="001C7562" w:rsidRDefault="000D5F93" w:rsidP="000D5F93">
              <w:pPr>
                <w:contextualSpacing/>
                <w:jc w:val="right"/>
                <w:rPr>
                  <w:rFonts w:ascii="Tahoma" w:eastAsia="Tahoma" w:hAnsi="Tahoma" w:cs="Tahoma"/>
                  <w:color w:val="000000" w:themeColor="text1"/>
                  <w:sz w:val="16"/>
                  <w:szCs w:val="16"/>
                </w:rPr>
              </w:pPr>
              <w:r w:rsidRPr="001C7562">
                <w:rPr>
                  <w:rFonts w:ascii="Tahoma" w:eastAsia="Tahoma" w:hAnsi="Tahoma" w:cs="Tahoma"/>
                  <w:color w:val="000000" w:themeColor="text1"/>
                  <w:sz w:val="16"/>
                  <w:szCs w:val="16"/>
                </w:rPr>
                <w:t xml:space="preserve">Οδηγίες: </w:t>
              </w:r>
              <w:r>
                <w:rPr>
                  <w:rFonts w:ascii="Tahoma" w:eastAsia="Tahoma" w:hAnsi="Tahoma" w:cs="Tahoma"/>
                  <w:color w:val="000000" w:themeColor="text1"/>
                  <w:sz w:val="16"/>
                  <w:szCs w:val="16"/>
                </w:rPr>
                <w:t>Ο_Ι.1_</w:t>
              </w:r>
              <w:r w:rsidR="001E4F9F">
                <w:rPr>
                  <w:rFonts w:ascii="Tahoma" w:eastAsia="Tahoma" w:hAnsi="Tahoma" w:cs="Tahoma"/>
                  <w:color w:val="000000" w:themeColor="text1"/>
                  <w:sz w:val="16"/>
                  <w:szCs w:val="16"/>
                </w:rPr>
                <w:t>4</w:t>
              </w:r>
            </w:p>
            <w:p w14:paraId="00788ACD" w14:textId="318FF4FD" w:rsidR="000D5F93" w:rsidRPr="001C7562" w:rsidRDefault="000D5F93" w:rsidP="000D5F93">
              <w:pPr>
                <w:contextualSpacing/>
                <w:jc w:val="right"/>
                <w:rPr>
                  <w:rFonts w:ascii="Tahoma" w:eastAsia="Tahoma" w:hAnsi="Tahoma" w:cs="Tahoma"/>
                  <w:color w:val="000000" w:themeColor="text1"/>
                  <w:sz w:val="16"/>
                  <w:szCs w:val="16"/>
                </w:rPr>
              </w:pPr>
              <w:r w:rsidRPr="001C7562">
                <w:rPr>
                  <w:rFonts w:ascii="Tahoma" w:eastAsia="Tahoma" w:hAnsi="Tahoma" w:cs="Tahoma"/>
                  <w:color w:val="000000" w:themeColor="text1"/>
                  <w:sz w:val="16"/>
                  <w:szCs w:val="16"/>
                </w:rPr>
                <w:t>Έκδοση:</w:t>
              </w:r>
              <w:r>
                <w:rPr>
                  <w:rFonts w:ascii="Tahoma" w:eastAsia="Tahoma" w:hAnsi="Tahoma" w:cs="Tahoma"/>
                  <w:color w:val="000000" w:themeColor="text1"/>
                  <w:sz w:val="16"/>
                  <w:szCs w:val="16"/>
                </w:rPr>
                <w:t xml:space="preserve"> </w:t>
              </w:r>
              <w:r w:rsidR="001E4F9F">
                <w:rPr>
                  <w:rFonts w:ascii="Tahoma" w:eastAsia="Tahoma" w:hAnsi="Tahoma" w:cs="Tahoma"/>
                  <w:color w:val="000000" w:themeColor="text1"/>
                  <w:sz w:val="16"/>
                  <w:szCs w:val="16"/>
                </w:rPr>
                <w:t>1</w:t>
              </w:r>
              <w:r w:rsidRPr="001C7562">
                <w:rPr>
                  <w:rFonts w:ascii="Tahoma" w:eastAsia="Tahoma" w:hAnsi="Tahoma" w:cs="Tahoma"/>
                  <w:color w:val="000000" w:themeColor="text1"/>
                  <w:sz w:val="16"/>
                  <w:szCs w:val="16"/>
                </w:rPr>
                <w:t xml:space="preserve">η </w:t>
              </w:r>
            </w:p>
            <w:p w14:paraId="2B71973E" w14:textId="77777777" w:rsidR="000D5F93" w:rsidRPr="001C7562" w:rsidRDefault="000D5F93" w:rsidP="000D5F93">
              <w:pPr>
                <w:contextualSpacing/>
                <w:jc w:val="right"/>
                <w:rPr>
                  <w:rFonts w:ascii="Tahoma" w:eastAsia="Tahoma" w:hAnsi="Tahoma" w:cs="Tahoma"/>
                  <w:color w:val="000000" w:themeColor="text1"/>
                  <w:sz w:val="16"/>
                  <w:szCs w:val="16"/>
                </w:rPr>
              </w:pPr>
              <w:proofErr w:type="spellStart"/>
              <w:r w:rsidRPr="001C7562">
                <w:rPr>
                  <w:rFonts w:ascii="Tahoma" w:eastAsia="Tahoma" w:hAnsi="Tahoma" w:cs="Tahoma"/>
                  <w:color w:val="000000" w:themeColor="text1"/>
                  <w:sz w:val="16"/>
                  <w:szCs w:val="16"/>
                </w:rPr>
                <w:t>Ημ</w:t>
              </w:r>
              <w:proofErr w:type="spellEnd"/>
              <w:r w:rsidRPr="001C7562">
                <w:rPr>
                  <w:rFonts w:ascii="Tahoma" w:eastAsia="Tahoma" w:hAnsi="Tahoma" w:cs="Tahoma"/>
                  <w:color w:val="000000" w:themeColor="text1"/>
                  <w:sz w:val="16"/>
                  <w:szCs w:val="16"/>
                </w:rPr>
                <w:t>. Έκδοσης:</w:t>
              </w:r>
              <w:r>
                <w:rPr>
                  <w:rFonts w:ascii="Tahoma" w:eastAsia="Tahoma" w:hAnsi="Tahoma" w:cs="Tahoma"/>
                  <w:color w:val="000000" w:themeColor="text1"/>
                  <w:sz w:val="16"/>
                  <w:szCs w:val="16"/>
                </w:rPr>
                <w:t xml:space="preserve"> 08.05.2026</w:t>
              </w:r>
            </w:p>
          </w:tc>
        </w:tr>
      </w:tbl>
      <w:p w14:paraId="11514E94" w14:textId="7691FCB8" w:rsidR="00D40B3A" w:rsidRDefault="00000000" w:rsidP="00D40B3A">
        <w:pPr>
          <w:pStyle w:val="ad"/>
        </w:pPr>
      </w:p>
    </w:sdtContent>
  </w:sdt>
  <w:p w14:paraId="1371D6FC" w14:textId="77777777" w:rsidR="00D40B3A" w:rsidRPr="00D40B3A" w:rsidRDefault="00D40B3A">
    <w:pPr>
      <w:pStyle w:val="ad"/>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9193" w14:textId="77777777" w:rsidR="001E4F9F" w:rsidRDefault="001E4F9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6061" w14:textId="77777777" w:rsidR="008E31FE" w:rsidRDefault="008E31FE" w:rsidP="009B0B9F">
      <w:pPr>
        <w:spacing w:after="0" w:line="240" w:lineRule="auto"/>
      </w:pPr>
      <w:r>
        <w:separator/>
      </w:r>
    </w:p>
  </w:footnote>
  <w:footnote w:type="continuationSeparator" w:id="0">
    <w:p w14:paraId="4071C149" w14:textId="77777777" w:rsidR="008E31FE" w:rsidRDefault="008E31FE" w:rsidP="009B0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450B" w14:textId="77777777" w:rsidR="001E4F9F" w:rsidRDefault="001E4F9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EBB2C" w14:textId="77777777" w:rsidR="001E4F9F" w:rsidRDefault="001E4F9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4BC" w14:textId="77777777" w:rsidR="001E4F9F" w:rsidRDefault="001E4F9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6E8F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FA753CD"/>
    <w:multiLevelType w:val="hybridMultilevel"/>
    <w:tmpl w:val="4DFA0278"/>
    <w:lvl w:ilvl="0" w:tplc="2990F82C">
      <w:start w:val="1"/>
      <w:numFmt w:val="bullet"/>
      <w:lvlText w:val="-"/>
      <w:lvlJc w:val="left"/>
      <w:pPr>
        <w:ind w:left="720" w:hanging="360"/>
      </w:pPr>
      <w:rPr>
        <w:rFonts w:ascii="Cambria" w:eastAsiaTheme="minorHAnsi" w:hAnsi="Cambria"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6797416"/>
    <w:multiLevelType w:val="hybridMultilevel"/>
    <w:tmpl w:val="9E52488E"/>
    <w:lvl w:ilvl="0" w:tplc="04080001">
      <w:start w:val="1"/>
      <w:numFmt w:val="bullet"/>
      <w:lvlText w:val=""/>
      <w:lvlJc w:val="left"/>
      <w:pPr>
        <w:tabs>
          <w:tab w:val="num" w:pos="360"/>
        </w:tabs>
        <w:ind w:left="360" w:hanging="360"/>
      </w:pPr>
      <w:rPr>
        <w:rFonts w:ascii="Symbol" w:hAnsi="Symbol" w:hint="default"/>
        <w:b w:val="0"/>
        <w:i w:val="0"/>
        <w:caps w:val="0"/>
        <w:strike w:val="0"/>
        <w:dstrike w:val="0"/>
        <w:vanish w:val="0"/>
        <w:color w:val="auto"/>
        <w:spacing w:val="0"/>
        <w:w w:val="100"/>
        <w:position w:val="0"/>
        <w:sz w:val="28"/>
        <w:u w:val="none"/>
        <w:vertAlign w:val="baseline"/>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65708B"/>
    <w:multiLevelType w:val="hybridMultilevel"/>
    <w:tmpl w:val="63786662"/>
    <w:lvl w:ilvl="0" w:tplc="86423876">
      <w:start w:val="1"/>
      <w:numFmt w:val="bullet"/>
      <w:lvlText w:val=""/>
      <w:lvlJc w:val="left"/>
      <w:pPr>
        <w:ind w:left="1211" w:hanging="360"/>
      </w:pPr>
      <w:rPr>
        <w:rFonts w:ascii="Wingdings" w:hAnsi="Wingdings" w:hint="default"/>
        <w:b w:val="0"/>
        <w:i w:val="0"/>
        <w:caps w:val="0"/>
        <w:strike w:val="0"/>
        <w:dstrike w:val="0"/>
        <w:vanish w:val="0"/>
        <w:color w:val="auto"/>
        <w:spacing w:val="0"/>
        <w:w w:val="100"/>
        <w:position w:val="0"/>
        <w:sz w:val="28"/>
        <w:u w:val="none"/>
        <w:vertAlign w:val="baseline"/>
      </w:rPr>
    </w:lvl>
    <w:lvl w:ilvl="1" w:tplc="04080003">
      <w:start w:val="1"/>
      <w:numFmt w:val="bullet"/>
      <w:lvlText w:val="o"/>
      <w:lvlJc w:val="left"/>
      <w:pPr>
        <w:ind w:left="1439" w:hanging="360"/>
      </w:pPr>
      <w:rPr>
        <w:rFonts w:ascii="Courier New" w:hAnsi="Courier New" w:hint="default"/>
      </w:rPr>
    </w:lvl>
    <w:lvl w:ilvl="2" w:tplc="04080005">
      <w:start w:val="1"/>
      <w:numFmt w:val="bullet"/>
      <w:lvlText w:val=""/>
      <w:lvlJc w:val="left"/>
      <w:pPr>
        <w:ind w:left="2159" w:hanging="360"/>
      </w:pPr>
      <w:rPr>
        <w:rFonts w:ascii="Wingdings" w:hAnsi="Wingdings" w:hint="default"/>
      </w:rPr>
    </w:lvl>
    <w:lvl w:ilvl="3" w:tplc="04080001" w:tentative="1">
      <w:start w:val="1"/>
      <w:numFmt w:val="bullet"/>
      <w:lvlText w:val=""/>
      <w:lvlJc w:val="left"/>
      <w:pPr>
        <w:ind w:left="2879" w:hanging="360"/>
      </w:pPr>
      <w:rPr>
        <w:rFonts w:ascii="Symbol" w:hAnsi="Symbol" w:hint="default"/>
      </w:rPr>
    </w:lvl>
    <w:lvl w:ilvl="4" w:tplc="04080003" w:tentative="1">
      <w:start w:val="1"/>
      <w:numFmt w:val="bullet"/>
      <w:lvlText w:val="o"/>
      <w:lvlJc w:val="left"/>
      <w:pPr>
        <w:ind w:left="3599" w:hanging="360"/>
      </w:pPr>
      <w:rPr>
        <w:rFonts w:ascii="Courier New" w:hAnsi="Courier New" w:hint="default"/>
      </w:rPr>
    </w:lvl>
    <w:lvl w:ilvl="5" w:tplc="04080005" w:tentative="1">
      <w:start w:val="1"/>
      <w:numFmt w:val="bullet"/>
      <w:lvlText w:val=""/>
      <w:lvlJc w:val="left"/>
      <w:pPr>
        <w:ind w:left="4319" w:hanging="360"/>
      </w:pPr>
      <w:rPr>
        <w:rFonts w:ascii="Wingdings" w:hAnsi="Wingdings" w:hint="default"/>
      </w:rPr>
    </w:lvl>
    <w:lvl w:ilvl="6" w:tplc="04080001" w:tentative="1">
      <w:start w:val="1"/>
      <w:numFmt w:val="bullet"/>
      <w:lvlText w:val=""/>
      <w:lvlJc w:val="left"/>
      <w:pPr>
        <w:ind w:left="5039" w:hanging="360"/>
      </w:pPr>
      <w:rPr>
        <w:rFonts w:ascii="Symbol" w:hAnsi="Symbol" w:hint="default"/>
      </w:rPr>
    </w:lvl>
    <w:lvl w:ilvl="7" w:tplc="04080003" w:tentative="1">
      <w:start w:val="1"/>
      <w:numFmt w:val="bullet"/>
      <w:lvlText w:val="o"/>
      <w:lvlJc w:val="left"/>
      <w:pPr>
        <w:ind w:left="5759" w:hanging="360"/>
      </w:pPr>
      <w:rPr>
        <w:rFonts w:ascii="Courier New" w:hAnsi="Courier New" w:hint="default"/>
      </w:rPr>
    </w:lvl>
    <w:lvl w:ilvl="8" w:tplc="04080005" w:tentative="1">
      <w:start w:val="1"/>
      <w:numFmt w:val="bullet"/>
      <w:lvlText w:val=""/>
      <w:lvlJc w:val="left"/>
      <w:pPr>
        <w:ind w:left="6479" w:hanging="360"/>
      </w:pPr>
      <w:rPr>
        <w:rFonts w:ascii="Wingdings" w:hAnsi="Wingdings" w:hint="default"/>
      </w:rPr>
    </w:lvl>
  </w:abstractNum>
  <w:abstractNum w:abstractNumId="4" w15:restartNumberingAfterBreak="0">
    <w:nsid w:val="5AF94350"/>
    <w:multiLevelType w:val="hybridMultilevel"/>
    <w:tmpl w:val="1F4AD08A"/>
    <w:lvl w:ilvl="0" w:tplc="C7DA953C">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2A222EC"/>
    <w:multiLevelType w:val="hybridMultilevel"/>
    <w:tmpl w:val="072808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20076447">
    <w:abstractNumId w:val="4"/>
  </w:num>
  <w:num w:numId="2" w16cid:durableId="1826848459">
    <w:abstractNumId w:val="3"/>
  </w:num>
  <w:num w:numId="3" w16cid:durableId="774717061">
    <w:abstractNumId w:val="2"/>
  </w:num>
  <w:num w:numId="4" w16cid:durableId="1843079592">
    <w:abstractNumId w:val="5"/>
  </w:num>
  <w:num w:numId="5" w16cid:durableId="1211919149">
    <w:abstractNumId w:val="0"/>
  </w:num>
  <w:num w:numId="6" w16cid:durableId="2131583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DE"/>
    <w:rsid w:val="0001666F"/>
    <w:rsid w:val="00053652"/>
    <w:rsid w:val="00095EEE"/>
    <w:rsid w:val="000A4850"/>
    <w:rsid w:val="000D5F93"/>
    <w:rsid w:val="000F2015"/>
    <w:rsid w:val="00175117"/>
    <w:rsid w:val="00195092"/>
    <w:rsid w:val="001A151E"/>
    <w:rsid w:val="001D7716"/>
    <w:rsid w:val="001E4F9F"/>
    <w:rsid w:val="00204B5F"/>
    <w:rsid w:val="00205870"/>
    <w:rsid w:val="00276BF4"/>
    <w:rsid w:val="002812ED"/>
    <w:rsid w:val="00281869"/>
    <w:rsid w:val="002C5375"/>
    <w:rsid w:val="002F0D9B"/>
    <w:rsid w:val="003F6D5D"/>
    <w:rsid w:val="00400176"/>
    <w:rsid w:val="00406FAB"/>
    <w:rsid w:val="00485DFE"/>
    <w:rsid w:val="004A42DA"/>
    <w:rsid w:val="00506D9D"/>
    <w:rsid w:val="00567F03"/>
    <w:rsid w:val="005A3739"/>
    <w:rsid w:val="005C3205"/>
    <w:rsid w:val="005D267F"/>
    <w:rsid w:val="005F5B6D"/>
    <w:rsid w:val="006041DF"/>
    <w:rsid w:val="00615893"/>
    <w:rsid w:val="006676AD"/>
    <w:rsid w:val="00680F6C"/>
    <w:rsid w:val="00690474"/>
    <w:rsid w:val="006B5066"/>
    <w:rsid w:val="0071141A"/>
    <w:rsid w:val="00794626"/>
    <w:rsid w:val="00795860"/>
    <w:rsid w:val="007B5EC5"/>
    <w:rsid w:val="0080418F"/>
    <w:rsid w:val="008E31FE"/>
    <w:rsid w:val="009120DA"/>
    <w:rsid w:val="00983A33"/>
    <w:rsid w:val="009B0B9F"/>
    <w:rsid w:val="009C2319"/>
    <w:rsid w:val="00A064BC"/>
    <w:rsid w:val="00A4440C"/>
    <w:rsid w:val="00A56AAA"/>
    <w:rsid w:val="00A764DB"/>
    <w:rsid w:val="00AB2B5E"/>
    <w:rsid w:val="00AB320E"/>
    <w:rsid w:val="00AE0E8B"/>
    <w:rsid w:val="00AF57CC"/>
    <w:rsid w:val="00B02FF2"/>
    <w:rsid w:val="00B523D5"/>
    <w:rsid w:val="00B96B90"/>
    <w:rsid w:val="00BC1770"/>
    <w:rsid w:val="00BD44EC"/>
    <w:rsid w:val="00D11617"/>
    <w:rsid w:val="00D26C2E"/>
    <w:rsid w:val="00D40B3A"/>
    <w:rsid w:val="00D63644"/>
    <w:rsid w:val="00DB7736"/>
    <w:rsid w:val="00E6141C"/>
    <w:rsid w:val="00E659FE"/>
    <w:rsid w:val="00F23508"/>
    <w:rsid w:val="00F42ADE"/>
    <w:rsid w:val="00F80E31"/>
    <w:rsid w:val="00FA4F3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B70D"/>
  <w15:chartTrackingRefBased/>
  <w15:docId w15:val="{4BB92056-C36A-4DAD-A4D2-50B913E6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850"/>
  </w:style>
  <w:style w:type="paragraph" w:styleId="1">
    <w:name w:val="heading 1"/>
    <w:basedOn w:val="a"/>
    <w:next w:val="a"/>
    <w:link w:val="1Char"/>
    <w:uiPriority w:val="99"/>
    <w:qFormat/>
    <w:rsid w:val="00F42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9"/>
    <w:unhideWhenUsed/>
    <w:qFormat/>
    <w:rsid w:val="00F42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9"/>
    <w:unhideWhenUsed/>
    <w:qFormat/>
    <w:rsid w:val="00F42A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9"/>
    <w:unhideWhenUsed/>
    <w:qFormat/>
    <w:rsid w:val="00F42A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9"/>
    <w:unhideWhenUsed/>
    <w:qFormat/>
    <w:rsid w:val="00F42A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9"/>
    <w:unhideWhenUsed/>
    <w:qFormat/>
    <w:rsid w:val="00F42A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9"/>
    <w:unhideWhenUsed/>
    <w:qFormat/>
    <w:rsid w:val="00F42A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9"/>
    <w:unhideWhenUsed/>
    <w:qFormat/>
    <w:rsid w:val="00F42A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9"/>
    <w:unhideWhenUsed/>
    <w:qFormat/>
    <w:rsid w:val="00F42A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2AD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42AD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9"/>
    <w:rsid w:val="00F42AD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42AD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42AD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42AD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42AD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42AD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42ADE"/>
    <w:rPr>
      <w:rFonts w:eastAsiaTheme="majorEastAsia" w:cstheme="majorBidi"/>
      <w:color w:val="272727" w:themeColor="text1" w:themeTint="D8"/>
    </w:rPr>
  </w:style>
  <w:style w:type="paragraph" w:styleId="a3">
    <w:name w:val="Title"/>
    <w:basedOn w:val="a"/>
    <w:next w:val="a"/>
    <w:link w:val="Char"/>
    <w:uiPriority w:val="10"/>
    <w:qFormat/>
    <w:rsid w:val="00F42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42A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2AD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42A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2ADE"/>
    <w:pPr>
      <w:spacing w:before="160"/>
      <w:jc w:val="center"/>
    </w:pPr>
    <w:rPr>
      <w:i/>
      <w:iCs/>
      <w:color w:val="404040" w:themeColor="text1" w:themeTint="BF"/>
    </w:rPr>
  </w:style>
  <w:style w:type="character" w:customStyle="1" w:styleId="Char1">
    <w:name w:val="Απόσπασμα Char"/>
    <w:basedOn w:val="a0"/>
    <w:link w:val="a5"/>
    <w:uiPriority w:val="29"/>
    <w:rsid w:val="00F42ADE"/>
    <w:rPr>
      <w:i/>
      <w:iCs/>
      <w:color w:val="404040" w:themeColor="text1" w:themeTint="BF"/>
    </w:rPr>
  </w:style>
  <w:style w:type="paragraph" w:styleId="a6">
    <w:name w:val="List Paragraph"/>
    <w:basedOn w:val="a"/>
    <w:uiPriority w:val="99"/>
    <w:qFormat/>
    <w:rsid w:val="00F42ADE"/>
    <w:pPr>
      <w:ind w:left="720"/>
      <w:contextualSpacing/>
    </w:pPr>
  </w:style>
  <w:style w:type="character" w:styleId="a7">
    <w:name w:val="Intense Emphasis"/>
    <w:basedOn w:val="a0"/>
    <w:uiPriority w:val="21"/>
    <w:qFormat/>
    <w:rsid w:val="00F42ADE"/>
    <w:rPr>
      <w:i/>
      <w:iCs/>
      <w:color w:val="2F5496" w:themeColor="accent1" w:themeShade="BF"/>
    </w:rPr>
  </w:style>
  <w:style w:type="paragraph" w:styleId="a8">
    <w:name w:val="Intense Quote"/>
    <w:basedOn w:val="a"/>
    <w:next w:val="a"/>
    <w:link w:val="Char2"/>
    <w:uiPriority w:val="30"/>
    <w:qFormat/>
    <w:rsid w:val="00F42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42ADE"/>
    <w:rPr>
      <w:i/>
      <w:iCs/>
      <w:color w:val="2F5496" w:themeColor="accent1" w:themeShade="BF"/>
    </w:rPr>
  </w:style>
  <w:style w:type="character" w:styleId="a9">
    <w:name w:val="Intense Reference"/>
    <w:basedOn w:val="a0"/>
    <w:uiPriority w:val="32"/>
    <w:qFormat/>
    <w:rsid w:val="00F42ADE"/>
    <w:rPr>
      <w:b/>
      <w:bCs/>
      <w:smallCaps/>
      <w:color w:val="2F5496" w:themeColor="accent1" w:themeShade="BF"/>
      <w:spacing w:val="5"/>
    </w:rPr>
  </w:style>
  <w:style w:type="paragraph" w:styleId="aa">
    <w:name w:val="List Bullet"/>
    <w:basedOn w:val="20"/>
    <w:link w:val="Char3"/>
    <w:uiPriority w:val="99"/>
    <w:rsid w:val="00F42ADE"/>
    <w:pPr>
      <w:tabs>
        <w:tab w:val="left" w:pos="567"/>
      </w:tabs>
      <w:spacing w:before="120" w:after="0" w:line="240" w:lineRule="auto"/>
      <w:contextualSpacing w:val="0"/>
      <w:jc w:val="both"/>
    </w:pPr>
    <w:rPr>
      <w:rFonts w:ascii="Arial Narrow" w:eastAsia="Times New Roman" w:hAnsi="Arial Narrow" w:cs="Times New Roman"/>
      <w:lang w:eastAsia="el-GR"/>
    </w:rPr>
  </w:style>
  <w:style w:type="character" w:customStyle="1" w:styleId="Char3">
    <w:name w:val="Λίστα με κουκκίδες Char"/>
    <w:link w:val="aa"/>
    <w:uiPriority w:val="99"/>
    <w:locked/>
    <w:rsid w:val="00F42ADE"/>
    <w:rPr>
      <w:rFonts w:ascii="Arial Narrow" w:eastAsia="Times New Roman" w:hAnsi="Arial Narrow" w:cs="Times New Roman"/>
      <w:lang w:eastAsia="el-GR"/>
    </w:rPr>
  </w:style>
  <w:style w:type="paragraph" w:styleId="20">
    <w:name w:val="List Bullet 2"/>
    <w:basedOn w:val="a"/>
    <w:uiPriority w:val="99"/>
    <w:semiHidden/>
    <w:unhideWhenUsed/>
    <w:rsid w:val="00F42ADE"/>
    <w:pPr>
      <w:contextualSpacing/>
    </w:pPr>
  </w:style>
  <w:style w:type="paragraph" w:styleId="Web">
    <w:name w:val="Normal (Web)"/>
    <w:basedOn w:val="a"/>
    <w:uiPriority w:val="99"/>
    <w:rsid w:val="00AB2B5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TOC Heading"/>
    <w:basedOn w:val="1"/>
    <w:next w:val="a"/>
    <w:uiPriority w:val="99"/>
    <w:qFormat/>
    <w:rsid w:val="00AB2B5E"/>
    <w:pPr>
      <w:spacing w:before="480" w:after="0" w:line="276" w:lineRule="auto"/>
      <w:outlineLvl w:val="9"/>
    </w:pPr>
    <w:rPr>
      <w:rFonts w:ascii="Cambria" w:eastAsia="Times New Roman" w:hAnsi="Cambria" w:cs="Times New Roman"/>
      <w:b/>
      <w:bCs/>
      <w:color w:val="365F91"/>
      <w:sz w:val="28"/>
      <w:szCs w:val="28"/>
      <w:lang w:val="en-US" w:eastAsia="ja-JP"/>
    </w:rPr>
  </w:style>
  <w:style w:type="paragraph" w:customStyle="1" w:styleId="Default">
    <w:name w:val="Default"/>
    <w:rsid w:val="00690474"/>
    <w:pPr>
      <w:autoSpaceDE w:val="0"/>
      <w:autoSpaceDN w:val="0"/>
      <w:adjustRightInd w:val="0"/>
      <w:spacing w:after="0" w:line="240" w:lineRule="auto"/>
      <w:ind w:left="714" w:hanging="357"/>
      <w:jc w:val="both"/>
    </w:pPr>
    <w:rPr>
      <w:rFonts w:ascii="Arial" w:hAnsi="Arial" w:cs="Arial"/>
      <w:color w:val="000000"/>
      <w:sz w:val="24"/>
      <w:szCs w:val="20"/>
      <w:lang w:val="en" w:eastAsia="en-GB"/>
    </w:rPr>
  </w:style>
  <w:style w:type="paragraph" w:styleId="ac">
    <w:name w:val="header"/>
    <w:basedOn w:val="a"/>
    <w:link w:val="Char4"/>
    <w:uiPriority w:val="99"/>
    <w:unhideWhenUsed/>
    <w:rsid w:val="009B0B9F"/>
    <w:pPr>
      <w:tabs>
        <w:tab w:val="center" w:pos="4153"/>
        <w:tab w:val="right" w:pos="8306"/>
      </w:tabs>
      <w:spacing w:after="0" w:line="240" w:lineRule="auto"/>
    </w:pPr>
  </w:style>
  <w:style w:type="character" w:customStyle="1" w:styleId="Char4">
    <w:name w:val="Κεφαλίδα Char"/>
    <w:basedOn w:val="a0"/>
    <w:link w:val="ac"/>
    <w:uiPriority w:val="99"/>
    <w:rsid w:val="009B0B9F"/>
  </w:style>
  <w:style w:type="paragraph" w:styleId="ad">
    <w:name w:val="footer"/>
    <w:basedOn w:val="a"/>
    <w:link w:val="Char5"/>
    <w:uiPriority w:val="99"/>
    <w:unhideWhenUsed/>
    <w:rsid w:val="009B0B9F"/>
    <w:pPr>
      <w:tabs>
        <w:tab w:val="center" w:pos="4153"/>
        <w:tab w:val="right" w:pos="8306"/>
      </w:tabs>
      <w:spacing w:after="0" w:line="240" w:lineRule="auto"/>
    </w:pPr>
  </w:style>
  <w:style w:type="character" w:customStyle="1" w:styleId="Char5">
    <w:name w:val="Υποσέλιδο Char"/>
    <w:basedOn w:val="a0"/>
    <w:link w:val="ad"/>
    <w:uiPriority w:val="99"/>
    <w:rsid w:val="009B0B9F"/>
  </w:style>
  <w:style w:type="paragraph" w:styleId="ae">
    <w:name w:val="Revision"/>
    <w:hidden/>
    <w:uiPriority w:val="99"/>
    <w:semiHidden/>
    <w:rsid w:val="00794626"/>
    <w:pPr>
      <w:spacing w:after="0" w:line="240" w:lineRule="auto"/>
    </w:pPr>
  </w:style>
  <w:style w:type="character" w:styleId="-">
    <w:name w:val="Hyperlink"/>
    <w:basedOn w:val="a0"/>
    <w:uiPriority w:val="99"/>
    <w:unhideWhenUsed/>
    <w:rsid w:val="00F80E31"/>
    <w:rPr>
      <w:color w:val="0563C1" w:themeColor="hyperlink"/>
      <w:u w:val="single"/>
    </w:rPr>
  </w:style>
  <w:style w:type="character" w:styleId="af">
    <w:name w:val="Unresolved Mention"/>
    <w:basedOn w:val="a0"/>
    <w:uiPriority w:val="99"/>
    <w:semiHidden/>
    <w:unhideWhenUsed/>
    <w:rsid w:val="00F80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spa.gr/el/Pages/SD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36BBF09E51E3D747983419EBE5C3D381" ma:contentTypeVersion="20" ma:contentTypeDescription="Δημιουργία νέου εγγράφου" ma:contentTypeScope="" ma:versionID="bc4b511df556970574421cac87535b4b">
  <xsd:schema xmlns:xsd="http://www.w3.org/2001/XMLSchema" xmlns:xs="http://www.w3.org/2001/XMLSchema" xmlns:p="http://schemas.microsoft.com/office/2006/metadata/properties" xmlns:ns1="http://schemas.microsoft.com/sharepoint/v3" xmlns:ns2="231fdfef-a9ee-4488-87d7-25509bb61a67" xmlns:ns3="9b14f67b-07fb-4990-84f3-2bcbd421439c" targetNamespace="http://schemas.microsoft.com/office/2006/metadata/properties" ma:root="true" ma:fieldsID="2e279a340938bbe2f21199f6f86dc425" ns1:_="" ns2:_="" ns3:_="">
    <xsd:import namespace="http://schemas.microsoft.com/sharepoint/v3"/>
    <xsd:import namespace="231fdfef-a9ee-4488-87d7-25509bb61a67"/>
    <xsd:import namespace="9b14f67b-07fb-4990-84f3-2bcbd4214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6"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fdfef-a9ee-4488-87d7-25509bb61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4f67b-07fb-4990-84f3-2bcbd42143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dc304-1838-491a-bef6-e0c7cdf51524}" ma:internalName="TaxCatchAll" ma:showField="CatchAllData" ma:web="9b14f67b-07fb-4990-84f3-2bcbd42143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b14f67b-07fb-4990-84f3-2bcbd421439c" xsi:nil="true"/>
    <_ip_UnifiedCompliancePolicyProperties xmlns="http://schemas.microsoft.com/sharepoint/v3" xsi:nil="true"/>
    <lcf76f155ced4ddcb4097134ff3c332f xmlns="231fdfef-a9ee-4488-87d7-25509bb61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E002B3-4878-4CA2-9E7F-EC1BF49C7B02}">
  <ds:schemaRefs>
    <ds:schemaRef ds:uri="http://schemas.microsoft.com/sharepoint/v3/contenttype/forms"/>
  </ds:schemaRefs>
</ds:datastoreItem>
</file>

<file path=customXml/itemProps2.xml><?xml version="1.0" encoding="utf-8"?>
<ds:datastoreItem xmlns:ds="http://schemas.openxmlformats.org/officeDocument/2006/customXml" ds:itemID="{D7362DC6-7656-49B4-888A-5B4886FAF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1fdfef-a9ee-4488-87d7-25509bb61a67"/>
    <ds:schemaRef ds:uri="9b14f67b-07fb-4990-84f3-2bcbd421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7C686-2F52-40E0-A316-D76F8D1ECFCD}">
  <ds:schemaRefs>
    <ds:schemaRef ds:uri="http://schemas.microsoft.com/office/2006/metadata/properties"/>
    <ds:schemaRef ds:uri="http://schemas.microsoft.com/office/infopath/2007/PartnerControls"/>
    <ds:schemaRef ds:uri="http://schemas.microsoft.com/sharepoint/v3"/>
    <ds:schemaRef ds:uri="9b14f67b-07fb-4990-84f3-2bcbd421439c"/>
    <ds:schemaRef ds:uri="231fdfef-a9ee-4488-87d7-25509bb61a67"/>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1045</Words>
  <Characters>5644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Δήμητρα Σουλελέ</cp:lastModifiedBy>
  <cp:revision>40</cp:revision>
  <dcterms:created xsi:type="dcterms:W3CDTF">2026-04-21T10:04:00Z</dcterms:created>
  <dcterms:modified xsi:type="dcterms:W3CDTF">2026-05-08T08:45:00Z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0x01010036BBF09E51E3D747983419EBE5C3D381</vt:lpwstr>
  </property>
  <property fmtid="{D5CDD505-2E9C-101B-9397-08002B2CF9AE}" pid="3" name="MediaServiceImageTags">
    <vt:lpwstr/>
  </property>
</Properties>
</file>